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D0403" w14:textId="77777777" w:rsidR="004D6409" w:rsidRPr="004C43E6" w:rsidRDefault="00000000">
      <w:pPr>
        <w:pStyle w:val="Titre"/>
        <w:jc w:val="center"/>
        <w:rPr>
          <w:rFonts w:ascii="Aptos Display" w:hAnsi="Aptos Display"/>
          <w:color w:val="F79646" w:themeColor="accent6"/>
        </w:rPr>
      </w:pPr>
      <w:r w:rsidRPr="004C43E6">
        <w:rPr>
          <w:rFonts w:ascii="Aptos Display" w:hAnsi="Aptos Display"/>
          <w:color w:val="F79646" w:themeColor="accent6"/>
        </w:rPr>
        <w:t xml:space="preserve">FICHE PROGRAMME </w:t>
      </w:r>
    </w:p>
    <w:p w14:paraId="32D5D3C5" w14:textId="58983D39" w:rsidR="00641BC7" w:rsidRPr="004C43E6" w:rsidRDefault="00000000">
      <w:pPr>
        <w:pStyle w:val="Titre"/>
        <w:jc w:val="center"/>
        <w:rPr>
          <w:rFonts w:ascii="Aptos Display" w:hAnsi="Aptos Display"/>
          <w:color w:val="F79646" w:themeColor="accent6"/>
        </w:rPr>
      </w:pPr>
      <w:r w:rsidRPr="004C43E6">
        <w:rPr>
          <w:rFonts w:ascii="Aptos Display" w:hAnsi="Aptos Display"/>
          <w:color w:val="F79646" w:themeColor="accent6"/>
        </w:rPr>
        <w:t>Bilan de Compétences</w:t>
      </w:r>
    </w:p>
    <w:p w14:paraId="5029EB48" w14:textId="77777777" w:rsidR="00641BC7" w:rsidRPr="0095130E" w:rsidRDefault="00000000">
      <w:pPr>
        <w:pStyle w:val="Titre2"/>
        <w:rPr>
          <w:rFonts w:ascii="Aptos Display" w:hAnsi="Aptos Display"/>
          <w:b w:val="0"/>
          <w:bCs w:val="0"/>
          <w:color w:val="4BACC6" w:themeColor="accent5"/>
          <w:sz w:val="22"/>
          <w:szCs w:val="22"/>
        </w:rPr>
      </w:pPr>
      <w:r w:rsidRPr="0095130E">
        <w:rPr>
          <w:rFonts w:ascii="Aptos Display" w:hAnsi="Aptos Display"/>
          <w:b w:val="0"/>
          <w:bCs w:val="0"/>
          <w:color w:val="4BACC6" w:themeColor="accent5"/>
          <w:sz w:val="22"/>
          <w:szCs w:val="22"/>
        </w:rPr>
        <w:t>Objectif de la prestation</w:t>
      </w:r>
    </w:p>
    <w:p w14:paraId="73340444" w14:textId="77777777" w:rsidR="00641BC7" w:rsidRPr="00DD0C9D" w:rsidRDefault="00000000">
      <w:pPr>
        <w:rPr>
          <w:sz w:val="20"/>
          <w:szCs w:val="20"/>
        </w:rPr>
      </w:pPr>
      <w:r w:rsidRPr="00DD0C9D">
        <w:rPr>
          <w:sz w:val="20"/>
          <w:szCs w:val="20"/>
        </w:rPr>
        <w:t>Permettre au bénéficiaire d’analyser ses compétences professionnelles et personnelles, ses aptitudes et ses motivations afin de définir un projet professionnel et, le cas échéant, un projet de formation.</w:t>
      </w:r>
    </w:p>
    <w:p w14:paraId="2D94A01D" w14:textId="77777777" w:rsidR="00641BC7" w:rsidRPr="0095130E" w:rsidRDefault="00000000">
      <w:pPr>
        <w:pStyle w:val="Titre2"/>
        <w:rPr>
          <w:rFonts w:ascii="Aptos Display" w:hAnsi="Aptos Display"/>
          <w:b w:val="0"/>
          <w:bCs w:val="0"/>
          <w:color w:val="4BACC6" w:themeColor="accent5"/>
          <w:sz w:val="22"/>
          <w:szCs w:val="22"/>
        </w:rPr>
      </w:pPr>
      <w:r w:rsidRPr="0095130E">
        <w:rPr>
          <w:rFonts w:ascii="Aptos Display" w:hAnsi="Aptos Display"/>
          <w:b w:val="0"/>
          <w:bCs w:val="0"/>
          <w:color w:val="4BACC6" w:themeColor="accent5"/>
          <w:sz w:val="22"/>
          <w:szCs w:val="22"/>
        </w:rPr>
        <w:t>Public visé / Prérequis</w:t>
      </w:r>
    </w:p>
    <w:p w14:paraId="39CF324E" w14:textId="77777777" w:rsidR="00641BC7" w:rsidRPr="00DD0C9D" w:rsidRDefault="00000000">
      <w:pPr>
        <w:rPr>
          <w:sz w:val="20"/>
          <w:szCs w:val="20"/>
        </w:rPr>
      </w:pPr>
      <w:r w:rsidRPr="00DD0C9D">
        <w:rPr>
          <w:sz w:val="20"/>
          <w:szCs w:val="20"/>
        </w:rPr>
        <w:t>Toute personne active souhaitant faire le point sur sa carrière (salarié du privé, fonctionnaire, indépendant, demandeur d’emploi).</w:t>
      </w:r>
      <w:r w:rsidRPr="00DD0C9D">
        <w:rPr>
          <w:sz w:val="20"/>
          <w:szCs w:val="20"/>
        </w:rPr>
        <w:br/>
        <w:t>Aucun prérequis n’est exigé. Un entretien préalable est systématiquement proposé.</w:t>
      </w:r>
    </w:p>
    <w:p w14:paraId="5CC9B5E6" w14:textId="77777777" w:rsidR="00641BC7" w:rsidRPr="0095130E" w:rsidRDefault="00000000">
      <w:pPr>
        <w:pStyle w:val="Titre2"/>
        <w:rPr>
          <w:rFonts w:ascii="Aptos Display" w:hAnsi="Aptos Display"/>
          <w:b w:val="0"/>
          <w:bCs w:val="0"/>
          <w:color w:val="4BACC6" w:themeColor="accent5"/>
          <w:sz w:val="22"/>
          <w:szCs w:val="22"/>
        </w:rPr>
      </w:pPr>
      <w:r w:rsidRPr="0095130E">
        <w:rPr>
          <w:rFonts w:ascii="Aptos Display" w:hAnsi="Aptos Display"/>
          <w:b w:val="0"/>
          <w:bCs w:val="0"/>
          <w:color w:val="4BACC6" w:themeColor="accent5"/>
          <w:sz w:val="22"/>
          <w:szCs w:val="22"/>
        </w:rPr>
        <w:t>Durée et modalités</w:t>
      </w:r>
    </w:p>
    <w:p w14:paraId="4154110C" w14:textId="1F9EEB21" w:rsidR="00641BC7" w:rsidRDefault="00000000">
      <w:pPr>
        <w:rPr>
          <w:sz w:val="20"/>
          <w:szCs w:val="20"/>
        </w:rPr>
      </w:pPr>
      <w:r w:rsidRPr="00DD0C9D">
        <w:rPr>
          <w:sz w:val="20"/>
          <w:szCs w:val="20"/>
        </w:rPr>
        <w:t xml:space="preserve">Le bilan comprend 24 heures d’accompagnement réparties sur 6 à 12 semaines selon le rythme du bénéficiaire. </w:t>
      </w:r>
    </w:p>
    <w:p w14:paraId="1496E322" w14:textId="77777777" w:rsidR="0095130E" w:rsidRPr="0095130E" w:rsidRDefault="0095130E" w:rsidP="0095130E">
      <w:pPr>
        <w:pStyle w:val="Titre3"/>
        <w:rPr>
          <w:rFonts w:ascii="Aptos Display" w:eastAsia="Times New Roman" w:hAnsi="Aptos Display"/>
          <w:b w:val="0"/>
          <w:bCs w:val="0"/>
          <w:color w:val="4BACC6" w:themeColor="accent5"/>
        </w:rPr>
      </w:pPr>
      <w:r w:rsidRPr="0095130E">
        <w:rPr>
          <w:rFonts w:ascii="Aptos Display" w:hAnsi="Aptos Display"/>
          <w:b w:val="0"/>
          <w:bCs w:val="0"/>
          <w:color w:val="4BACC6" w:themeColor="accent5"/>
        </w:rPr>
        <w:t>Déroulement du bilan de compétences</w:t>
      </w:r>
    </w:p>
    <w:p w14:paraId="7B9445E5" w14:textId="581E33E7" w:rsidR="0095130E" w:rsidRPr="002419F2" w:rsidRDefault="0095130E" w:rsidP="0095130E">
      <w:pPr>
        <w:pStyle w:val="NormalWeb"/>
        <w:rPr>
          <w:rFonts w:asciiTheme="majorHAnsi" w:hAnsiTheme="majorHAnsi" w:cstheme="majorHAnsi"/>
          <w:color w:val="000000"/>
          <w:sz w:val="20"/>
          <w:szCs w:val="20"/>
        </w:rPr>
      </w:pPr>
      <w:r w:rsidRPr="002419F2">
        <w:rPr>
          <w:rFonts w:asciiTheme="majorHAnsi" w:hAnsiTheme="majorHAnsi" w:cstheme="majorHAnsi"/>
          <w:color w:val="000000"/>
          <w:sz w:val="20"/>
          <w:szCs w:val="20"/>
        </w:rPr>
        <w:t>Le bilan est structuré en</w:t>
      </w:r>
      <w:r w:rsidRPr="002419F2">
        <w:rPr>
          <w:rStyle w:val="apple-converted-space"/>
          <w:rFonts w:asciiTheme="majorHAnsi" w:hAnsiTheme="majorHAnsi" w:cstheme="majorHAnsi"/>
          <w:color w:val="000000"/>
          <w:sz w:val="20"/>
          <w:szCs w:val="20"/>
        </w:rPr>
        <w:t> </w:t>
      </w:r>
      <w:r w:rsidRPr="002419F2">
        <w:rPr>
          <w:rStyle w:val="lev"/>
          <w:rFonts w:asciiTheme="majorHAnsi" w:hAnsiTheme="majorHAnsi" w:cstheme="majorHAnsi"/>
          <w:b w:val="0"/>
          <w:bCs w:val="0"/>
          <w:color w:val="000000"/>
          <w:sz w:val="20"/>
          <w:szCs w:val="20"/>
        </w:rPr>
        <w:t>trois phases obligatoires</w:t>
      </w:r>
    </w:p>
    <w:p w14:paraId="024A6B64" w14:textId="77777777" w:rsidR="0095130E" w:rsidRPr="002419F2" w:rsidRDefault="0095130E" w:rsidP="0095130E">
      <w:pPr>
        <w:pStyle w:val="Titre4"/>
        <w:rPr>
          <w:rFonts w:cstheme="majorHAnsi"/>
          <w:color w:val="000000"/>
          <w:sz w:val="20"/>
          <w:szCs w:val="20"/>
        </w:rPr>
      </w:pPr>
      <w:r w:rsidRPr="002419F2">
        <w:rPr>
          <w:rStyle w:val="lev"/>
          <w:rFonts w:cstheme="majorHAnsi"/>
          <w:color w:val="000000"/>
          <w:sz w:val="20"/>
          <w:szCs w:val="20"/>
        </w:rPr>
        <w:t>Phase préliminaire</w:t>
      </w:r>
    </w:p>
    <w:p w14:paraId="7C067EEA" w14:textId="77777777" w:rsidR="0095130E" w:rsidRPr="0095130E" w:rsidRDefault="0095130E" w:rsidP="0095130E">
      <w:pPr>
        <w:pStyle w:val="NormalWeb"/>
        <w:numPr>
          <w:ilvl w:val="0"/>
          <w:numId w:val="10"/>
        </w:numPr>
        <w:rPr>
          <w:rFonts w:asciiTheme="majorHAnsi" w:hAnsiTheme="majorHAnsi" w:cstheme="majorHAnsi"/>
          <w:color w:val="000000"/>
          <w:sz w:val="20"/>
          <w:szCs w:val="20"/>
        </w:rPr>
      </w:pPr>
      <w:r w:rsidRPr="0095130E">
        <w:rPr>
          <w:rFonts w:asciiTheme="majorHAnsi" w:hAnsiTheme="majorHAnsi" w:cstheme="majorHAnsi"/>
          <w:color w:val="000000"/>
          <w:sz w:val="20"/>
          <w:szCs w:val="20"/>
        </w:rPr>
        <w:t>Analyse de la demande, clarification des attentes</w:t>
      </w:r>
    </w:p>
    <w:p w14:paraId="203FE1EE" w14:textId="77777777" w:rsidR="0095130E" w:rsidRPr="0095130E" w:rsidRDefault="0095130E" w:rsidP="0095130E">
      <w:pPr>
        <w:pStyle w:val="NormalWeb"/>
        <w:numPr>
          <w:ilvl w:val="0"/>
          <w:numId w:val="10"/>
        </w:numPr>
        <w:rPr>
          <w:rFonts w:asciiTheme="majorHAnsi" w:hAnsiTheme="majorHAnsi" w:cstheme="majorHAnsi"/>
          <w:color w:val="000000"/>
          <w:sz w:val="20"/>
          <w:szCs w:val="20"/>
        </w:rPr>
      </w:pPr>
      <w:r w:rsidRPr="0095130E">
        <w:rPr>
          <w:rFonts w:asciiTheme="majorHAnsi" w:hAnsiTheme="majorHAnsi" w:cstheme="majorHAnsi"/>
          <w:color w:val="000000"/>
          <w:sz w:val="20"/>
          <w:szCs w:val="20"/>
        </w:rPr>
        <w:t>Présentation du cadre, du déroulé et des engagements mutuels</w:t>
      </w:r>
    </w:p>
    <w:p w14:paraId="4DCB28B9" w14:textId="77777777" w:rsidR="0095130E" w:rsidRPr="0095130E" w:rsidRDefault="0095130E" w:rsidP="0095130E">
      <w:pPr>
        <w:pStyle w:val="NormalWeb"/>
        <w:numPr>
          <w:ilvl w:val="0"/>
          <w:numId w:val="10"/>
        </w:numPr>
        <w:rPr>
          <w:rFonts w:asciiTheme="majorHAnsi" w:hAnsiTheme="majorHAnsi" w:cstheme="majorHAnsi"/>
          <w:color w:val="000000"/>
          <w:sz w:val="20"/>
          <w:szCs w:val="20"/>
        </w:rPr>
      </w:pPr>
      <w:r w:rsidRPr="0095130E">
        <w:rPr>
          <w:rFonts w:asciiTheme="majorHAnsi" w:hAnsiTheme="majorHAnsi" w:cstheme="majorHAnsi"/>
          <w:color w:val="000000"/>
          <w:sz w:val="20"/>
          <w:szCs w:val="20"/>
        </w:rPr>
        <w:t>Validation de l’entrée en bilan</w:t>
      </w:r>
    </w:p>
    <w:p w14:paraId="05E62311" w14:textId="77777777" w:rsidR="0095130E" w:rsidRPr="002419F2" w:rsidRDefault="0095130E" w:rsidP="0095130E">
      <w:pPr>
        <w:pStyle w:val="Titre4"/>
        <w:rPr>
          <w:rFonts w:cstheme="majorHAnsi"/>
          <w:color w:val="000000"/>
          <w:sz w:val="20"/>
          <w:szCs w:val="20"/>
        </w:rPr>
      </w:pPr>
      <w:r w:rsidRPr="002419F2">
        <w:rPr>
          <w:rStyle w:val="lev"/>
          <w:rFonts w:cstheme="majorHAnsi"/>
          <w:color w:val="000000"/>
          <w:sz w:val="20"/>
          <w:szCs w:val="20"/>
        </w:rPr>
        <w:t>Phase d’investigation</w:t>
      </w:r>
    </w:p>
    <w:p w14:paraId="68DBFF31" w14:textId="77777777" w:rsidR="0095130E" w:rsidRPr="0095130E" w:rsidRDefault="0095130E" w:rsidP="0095130E">
      <w:pPr>
        <w:pStyle w:val="NormalWeb"/>
        <w:numPr>
          <w:ilvl w:val="0"/>
          <w:numId w:val="11"/>
        </w:numPr>
        <w:rPr>
          <w:rFonts w:asciiTheme="majorHAnsi" w:hAnsiTheme="majorHAnsi" w:cstheme="majorHAnsi"/>
          <w:color w:val="000000"/>
          <w:sz w:val="20"/>
          <w:szCs w:val="20"/>
        </w:rPr>
      </w:pPr>
      <w:r w:rsidRPr="0095130E">
        <w:rPr>
          <w:rFonts w:asciiTheme="majorHAnsi" w:hAnsiTheme="majorHAnsi" w:cstheme="majorHAnsi"/>
          <w:color w:val="000000"/>
          <w:sz w:val="20"/>
          <w:szCs w:val="20"/>
        </w:rPr>
        <w:t>Analyse du parcours professionnel et personnel</w:t>
      </w:r>
    </w:p>
    <w:p w14:paraId="5AD9E798" w14:textId="77777777" w:rsidR="0095130E" w:rsidRPr="0095130E" w:rsidRDefault="0095130E" w:rsidP="0095130E">
      <w:pPr>
        <w:pStyle w:val="NormalWeb"/>
        <w:numPr>
          <w:ilvl w:val="0"/>
          <w:numId w:val="11"/>
        </w:numPr>
        <w:rPr>
          <w:rFonts w:asciiTheme="majorHAnsi" w:hAnsiTheme="majorHAnsi" w:cstheme="majorHAnsi"/>
          <w:color w:val="000000"/>
          <w:sz w:val="20"/>
          <w:szCs w:val="20"/>
        </w:rPr>
      </w:pPr>
      <w:r w:rsidRPr="0095130E">
        <w:rPr>
          <w:rFonts w:asciiTheme="majorHAnsi" w:hAnsiTheme="majorHAnsi" w:cstheme="majorHAnsi"/>
          <w:color w:val="000000"/>
          <w:sz w:val="20"/>
          <w:szCs w:val="20"/>
        </w:rPr>
        <w:t>Identification des compétences transférables et motivations</w:t>
      </w:r>
    </w:p>
    <w:p w14:paraId="7496A887" w14:textId="77777777" w:rsidR="0095130E" w:rsidRPr="0095130E" w:rsidRDefault="0095130E" w:rsidP="0095130E">
      <w:pPr>
        <w:pStyle w:val="NormalWeb"/>
        <w:numPr>
          <w:ilvl w:val="0"/>
          <w:numId w:val="11"/>
        </w:numPr>
        <w:rPr>
          <w:rFonts w:asciiTheme="majorHAnsi" w:hAnsiTheme="majorHAnsi" w:cstheme="majorHAnsi"/>
          <w:color w:val="000000"/>
          <w:sz w:val="20"/>
          <w:szCs w:val="20"/>
        </w:rPr>
      </w:pPr>
      <w:r w:rsidRPr="0095130E">
        <w:rPr>
          <w:rFonts w:asciiTheme="majorHAnsi" w:hAnsiTheme="majorHAnsi" w:cstheme="majorHAnsi"/>
          <w:color w:val="000000"/>
          <w:sz w:val="20"/>
          <w:szCs w:val="20"/>
        </w:rPr>
        <w:t>Réalisation de tests (personnalité, intérêts), carnet d’exploration</w:t>
      </w:r>
    </w:p>
    <w:p w14:paraId="52CC3BFA" w14:textId="77777777" w:rsidR="0095130E" w:rsidRPr="0095130E" w:rsidRDefault="0095130E" w:rsidP="0095130E">
      <w:pPr>
        <w:pStyle w:val="NormalWeb"/>
        <w:numPr>
          <w:ilvl w:val="0"/>
          <w:numId w:val="11"/>
        </w:numPr>
        <w:rPr>
          <w:rFonts w:asciiTheme="majorHAnsi" w:hAnsiTheme="majorHAnsi" w:cstheme="majorHAnsi"/>
          <w:color w:val="000000"/>
          <w:sz w:val="20"/>
          <w:szCs w:val="20"/>
        </w:rPr>
      </w:pPr>
      <w:r w:rsidRPr="0095130E">
        <w:rPr>
          <w:rFonts w:asciiTheme="majorHAnsi" w:hAnsiTheme="majorHAnsi" w:cstheme="majorHAnsi"/>
          <w:color w:val="000000"/>
          <w:sz w:val="20"/>
          <w:szCs w:val="20"/>
        </w:rPr>
        <w:t>Croisement des éléments pour faire émerger des pistes réalistes</w:t>
      </w:r>
    </w:p>
    <w:p w14:paraId="0025C61B" w14:textId="77777777" w:rsidR="0095130E" w:rsidRPr="002419F2" w:rsidRDefault="0095130E" w:rsidP="0095130E">
      <w:pPr>
        <w:pStyle w:val="Titre4"/>
        <w:rPr>
          <w:rFonts w:cstheme="majorHAnsi"/>
          <w:color w:val="000000"/>
          <w:sz w:val="20"/>
          <w:szCs w:val="20"/>
        </w:rPr>
      </w:pPr>
      <w:r w:rsidRPr="002419F2">
        <w:rPr>
          <w:rStyle w:val="lev"/>
          <w:rFonts w:cstheme="majorHAnsi"/>
          <w:color w:val="000000"/>
          <w:sz w:val="20"/>
          <w:szCs w:val="20"/>
        </w:rPr>
        <w:lastRenderedPageBreak/>
        <w:t>Phase de conclusion</w:t>
      </w:r>
    </w:p>
    <w:p w14:paraId="442DBCF2" w14:textId="77777777" w:rsidR="0095130E" w:rsidRPr="0095130E" w:rsidRDefault="0095130E" w:rsidP="0095130E">
      <w:pPr>
        <w:pStyle w:val="NormalWeb"/>
        <w:numPr>
          <w:ilvl w:val="0"/>
          <w:numId w:val="12"/>
        </w:numPr>
        <w:rPr>
          <w:rFonts w:asciiTheme="majorHAnsi" w:hAnsiTheme="majorHAnsi" w:cstheme="majorHAnsi"/>
          <w:color w:val="000000"/>
          <w:sz w:val="20"/>
          <w:szCs w:val="20"/>
        </w:rPr>
      </w:pPr>
      <w:r w:rsidRPr="0095130E">
        <w:rPr>
          <w:rFonts w:asciiTheme="majorHAnsi" w:hAnsiTheme="majorHAnsi" w:cstheme="majorHAnsi"/>
          <w:color w:val="000000"/>
          <w:sz w:val="20"/>
          <w:szCs w:val="20"/>
        </w:rPr>
        <w:t>Élaboration du projet professionnel ou de formation</w:t>
      </w:r>
    </w:p>
    <w:p w14:paraId="29B6602A" w14:textId="77777777" w:rsidR="0095130E" w:rsidRPr="0095130E" w:rsidRDefault="0095130E" w:rsidP="0095130E">
      <w:pPr>
        <w:pStyle w:val="NormalWeb"/>
        <w:numPr>
          <w:ilvl w:val="0"/>
          <w:numId w:val="12"/>
        </w:numPr>
        <w:rPr>
          <w:rFonts w:asciiTheme="majorHAnsi" w:hAnsiTheme="majorHAnsi" w:cstheme="majorHAnsi"/>
          <w:color w:val="000000"/>
          <w:sz w:val="20"/>
          <w:szCs w:val="20"/>
        </w:rPr>
      </w:pPr>
      <w:r w:rsidRPr="0095130E">
        <w:rPr>
          <w:rFonts w:asciiTheme="majorHAnsi" w:hAnsiTheme="majorHAnsi" w:cstheme="majorHAnsi"/>
          <w:color w:val="000000"/>
          <w:sz w:val="20"/>
          <w:szCs w:val="20"/>
        </w:rPr>
        <w:t>Rédaction et validation du document de synthèse</w:t>
      </w:r>
    </w:p>
    <w:p w14:paraId="549401B9" w14:textId="77777777" w:rsidR="0095130E" w:rsidRPr="0095130E" w:rsidRDefault="0095130E" w:rsidP="0095130E">
      <w:pPr>
        <w:pStyle w:val="NormalWeb"/>
        <w:numPr>
          <w:ilvl w:val="0"/>
          <w:numId w:val="12"/>
        </w:numPr>
        <w:rPr>
          <w:rFonts w:asciiTheme="majorHAnsi" w:hAnsiTheme="majorHAnsi" w:cstheme="majorHAnsi"/>
          <w:color w:val="000000"/>
          <w:sz w:val="20"/>
          <w:szCs w:val="20"/>
        </w:rPr>
      </w:pPr>
      <w:r w:rsidRPr="0095130E">
        <w:rPr>
          <w:rFonts w:asciiTheme="majorHAnsi" w:hAnsiTheme="majorHAnsi" w:cstheme="majorHAnsi"/>
          <w:color w:val="000000"/>
          <w:sz w:val="20"/>
          <w:szCs w:val="20"/>
        </w:rPr>
        <w:t>Définition d’un plan d’action réaliste</w:t>
      </w:r>
    </w:p>
    <w:p w14:paraId="4D130793" w14:textId="77777777" w:rsidR="0095130E" w:rsidRPr="0095130E" w:rsidRDefault="0095130E" w:rsidP="0095130E">
      <w:pPr>
        <w:pStyle w:val="NormalWeb"/>
        <w:numPr>
          <w:ilvl w:val="0"/>
          <w:numId w:val="12"/>
        </w:numPr>
        <w:rPr>
          <w:rFonts w:asciiTheme="majorHAnsi" w:hAnsiTheme="majorHAnsi" w:cstheme="majorHAnsi"/>
          <w:color w:val="000000"/>
          <w:sz w:val="20"/>
          <w:szCs w:val="20"/>
        </w:rPr>
      </w:pPr>
      <w:r w:rsidRPr="0095130E">
        <w:rPr>
          <w:rFonts w:asciiTheme="majorHAnsi" w:hAnsiTheme="majorHAnsi" w:cstheme="majorHAnsi"/>
          <w:color w:val="000000"/>
          <w:sz w:val="20"/>
          <w:szCs w:val="20"/>
        </w:rPr>
        <w:t>Bilan de clôture et perspectives concrètes à court/moyen terme</w:t>
      </w:r>
    </w:p>
    <w:p w14:paraId="2FDE6078" w14:textId="77777777" w:rsidR="0095130E" w:rsidRPr="00515E1E" w:rsidRDefault="0095130E">
      <w:pPr>
        <w:rPr>
          <w:color w:val="3071C3" w:themeColor="text2" w:themeTint="BF"/>
          <w:sz w:val="20"/>
          <w:szCs w:val="20"/>
        </w:rPr>
      </w:pPr>
    </w:p>
    <w:p w14:paraId="511EC0B1" w14:textId="77777777" w:rsidR="00641BC7" w:rsidRPr="00515E1E" w:rsidRDefault="00000000">
      <w:pPr>
        <w:pStyle w:val="Titre2"/>
        <w:rPr>
          <w:rFonts w:ascii="Aptos Display" w:hAnsi="Aptos Display"/>
          <w:b w:val="0"/>
          <w:bCs w:val="0"/>
          <w:color w:val="3071C3" w:themeColor="text2" w:themeTint="BF"/>
          <w:sz w:val="22"/>
          <w:szCs w:val="22"/>
        </w:rPr>
      </w:pPr>
      <w:r w:rsidRPr="00515E1E">
        <w:rPr>
          <w:rFonts w:ascii="Aptos Display" w:hAnsi="Aptos Display"/>
          <w:b w:val="0"/>
          <w:bCs w:val="0"/>
          <w:color w:val="3071C3" w:themeColor="text2" w:themeTint="BF"/>
          <w:sz w:val="22"/>
          <w:szCs w:val="22"/>
        </w:rPr>
        <w:t>Délais d’accès</w:t>
      </w:r>
    </w:p>
    <w:p w14:paraId="23D31D25" w14:textId="2A93D143" w:rsidR="00641BC7" w:rsidRPr="00DD0C9D" w:rsidRDefault="00000000">
      <w:pPr>
        <w:rPr>
          <w:sz w:val="20"/>
          <w:szCs w:val="20"/>
        </w:rPr>
      </w:pPr>
      <w:r w:rsidRPr="00DD0C9D">
        <w:rPr>
          <w:sz w:val="20"/>
          <w:szCs w:val="20"/>
        </w:rPr>
        <w:t>Le bilan peut débuter dans un délai de 15 jours après la demande, sous réserve de validation du financement.</w:t>
      </w:r>
    </w:p>
    <w:p w14:paraId="7511DBEC" w14:textId="77777777" w:rsidR="00641BC7" w:rsidRPr="00515E1E" w:rsidRDefault="00000000">
      <w:pPr>
        <w:pStyle w:val="Titre2"/>
        <w:rPr>
          <w:rFonts w:ascii="Aptos Display" w:hAnsi="Aptos Display"/>
          <w:b w:val="0"/>
          <w:bCs w:val="0"/>
          <w:color w:val="3071C3" w:themeColor="text2" w:themeTint="BF"/>
          <w:sz w:val="22"/>
          <w:szCs w:val="22"/>
        </w:rPr>
      </w:pPr>
      <w:r w:rsidRPr="00515E1E">
        <w:rPr>
          <w:rFonts w:ascii="Aptos Display" w:hAnsi="Aptos Display"/>
          <w:b w:val="0"/>
          <w:bCs w:val="0"/>
          <w:color w:val="3071C3" w:themeColor="text2" w:themeTint="BF"/>
          <w:sz w:val="22"/>
          <w:szCs w:val="22"/>
        </w:rPr>
        <w:t>Tarif</w:t>
      </w:r>
    </w:p>
    <w:p w14:paraId="492ED183" w14:textId="60BE359D" w:rsidR="00641BC7" w:rsidRPr="00DD0C9D" w:rsidRDefault="00000000">
      <w:pPr>
        <w:rPr>
          <w:sz w:val="20"/>
          <w:szCs w:val="20"/>
        </w:rPr>
      </w:pPr>
      <w:r w:rsidRPr="00DD0C9D">
        <w:rPr>
          <w:sz w:val="20"/>
          <w:szCs w:val="20"/>
        </w:rPr>
        <w:t>2</w:t>
      </w:r>
      <w:r w:rsidR="004D6409">
        <w:rPr>
          <w:sz w:val="20"/>
          <w:szCs w:val="20"/>
        </w:rPr>
        <w:t xml:space="preserve">220 </w:t>
      </w:r>
      <w:r w:rsidRPr="00DD0C9D">
        <w:rPr>
          <w:sz w:val="20"/>
          <w:szCs w:val="20"/>
        </w:rPr>
        <w:t>€ TTC – Finançable via le CPF</w:t>
      </w:r>
      <w:r w:rsidR="00AA0D0F">
        <w:rPr>
          <w:sz w:val="20"/>
          <w:szCs w:val="20"/>
        </w:rPr>
        <w:t xml:space="preserve"> </w:t>
      </w:r>
      <w:r w:rsidR="00AA0D0F" w:rsidRPr="00AA0D0F">
        <w:rPr>
          <w:rFonts w:asciiTheme="majorHAnsi" w:hAnsiTheme="majorHAnsi" w:cstheme="majorHAnsi"/>
          <w:sz w:val="20"/>
          <w:szCs w:val="20"/>
        </w:rPr>
        <w:t>(</w:t>
      </w:r>
      <w:r w:rsidR="00AA0D0F" w:rsidRPr="00AA0D0F">
        <w:rPr>
          <w:rFonts w:asciiTheme="majorHAnsi" w:hAnsiTheme="majorHAnsi" w:cstheme="majorHAnsi"/>
          <w:color w:val="000000"/>
          <w:sz w:val="20"/>
          <w:szCs w:val="20"/>
        </w:rPr>
        <w:t>Référencement CPF en cours de traitement par la Caisse des Dépôts)</w:t>
      </w:r>
      <w:r w:rsidRPr="00AA0D0F">
        <w:rPr>
          <w:rFonts w:asciiTheme="majorHAnsi" w:hAnsiTheme="majorHAnsi" w:cstheme="majorHAnsi"/>
          <w:sz w:val="20"/>
          <w:szCs w:val="20"/>
        </w:rPr>
        <w:t>, par l’employeur</w:t>
      </w:r>
      <w:r w:rsidRPr="00DD0C9D">
        <w:rPr>
          <w:sz w:val="20"/>
          <w:szCs w:val="20"/>
        </w:rPr>
        <w:t xml:space="preserve"> ou en financement personnel. </w:t>
      </w:r>
    </w:p>
    <w:p w14:paraId="24287445" w14:textId="77777777" w:rsidR="00641BC7" w:rsidRPr="00515E1E" w:rsidRDefault="00000000">
      <w:pPr>
        <w:pStyle w:val="Titre2"/>
        <w:rPr>
          <w:rFonts w:ascii="Aptos Display" w:hAnsi="Aptos Display"/>
          <w:b w:val="0"/>
          <w:bCs w:val="0"/>
          <w:color w:val="3071C3" w:themeColor="text2" w:themeTint="BF"/>
          <w:sz w:val="22"/>
          <w:szCs w:val="22"/>
        </w:rPr>
      </w:pPr>
      <w:r w:rsidRPr="00515E1E">
        <w:rPr>
          <w:rFonts w:ascii="Aptos Display" w:hAnsi="Aptos Display"/>
          <w:b w:val="0"/>
          <w:bCs w:val="0"/>
          <w:color w:val="3071C3" w:themeColor="text2" w:themeTint="BF"/>
          <w:sz w:val="22"/>
          <w:szCs w:val="22"/>
        </w:rPr>
        <w:t>Méthodes mobilisées</w:t>
      </w:r>
    </w:p>
    <w:p w14:paraId="3F014133" w14:textId="52CFEEF7" w:rsidR="00641BC7" w:rsidRPr="00DD0C9D" w:rsidRDefault="00000000">
      <w:pPr>
        <w:rPr>
          <w:sz w:val="20"/>
          <w:szCs w:val="20"/>
        </w:rPr>
      </w:pPr>
      <w:r w:rsidRPr="00DD0C9D">
        <w:rPr>
          <w:sz w:val="20"/>
          <w:szCs w:val="20"/>
        </w:rPr>
        <w:t xml:space="preserve">Entretiens individualisés, tests d’intérêts et de personnalité, questionnaires, carnet d’exploration personnelle, outils d’auto-évaluation. </w:t>
      </w:r>
    </w:p>
    <w:p w14:paraId="2E2F1BF8" w14:textId="77777777" w:rsidR="00641BC7" w:rsidRPr="00515E1E" w:rsidRDefault="00000000">
      <w:pPr>
        <w:pStyle w:val="Titre2"/>
        <w:rPr>
          <w:rFonts w:ascii="Aptos Display" w:hAnsi="Aptos Display"/>
          <w:b w:val="0"/>
          <w:bCs w:val="0"/>
          <w:color w:val="3071C3" w:themeColor="text2" w:themeTint="BF"/>
          <w:sz w:val="22"/>
          <w:szCs w:val="22"/>
        </w:rPr>
      </w:pPr>
      <w:r w:rsidRPr="00515E1E">
        <w:rPr>
          <w:rFonts w:ascii="Aptos Display" w:hAnsi="Aptos Display"/>
          <w:b w:val="0"/>
          <w:bCs w:val="0"/>
          <w:color w:val="3071C3" w:themeColor="text2" w:themeTint="BF"/>
          <w:sz w:val="22"/>
          <w:szCs w:val="22"/>
        </w:rPr>
        <w:t>Modalités d’évaluation</w:t>
      </w:r>
    </w:p>
    <w:p w14:paraId="3A123E6A" w14:textId="77777777" w:rsidR="00933D22" w:rsidRPr="00933D22" w:rsidRDefault="00933D22">
      <w:pPr>
        <w:rPr>
          <w:sz w:val="20"/>
          <w:szCs w:val="20"/>
        </w:rPr>
      </w:pPr>
      <w:r w:rsidRPr="00933D22">
        <w:rPr>
          <w:sz w:val="20"/>
          <w:szCs w:val="20"/>
        </w:rPr>
        <w:t xml:space="preserve">Nous évaluons les attentes du bénéficiaire en début de bilan et à l’issue de la prestation afin de mesurer l’évolution. Un questionnaire de satisfaction est remis en fin de parcours. Les résultats des bilans précédents sont disponibles sur demande. </w:t>
      </w:r>
    </w:p>
    <w:p w14:paraId="6050B5C9" w14:textId="5E5591B8" w:rsidR="00641BC7" w:rsidRPr="00933D22" w:rsidRDefault="00933D22">
      <w:pPr>
        <w:rPr>
          <w:sz w:val="20"/>
          <w:szCs w:val="20"/>
        </w:rPr>
      </w:pPr>
      <w:r w:rsidRPr="00933D22">
        <w:rPr>
          <w:sz w:val="20"/>
          <w:szCs w:val="20"/>
        </w:rPr>
        <w:t xml:space="preserve">Le document de synthèse est </w:t>
      </w:r>
      <w:proofErr w:type="spellStart"/>
      <w:r w:rsidRPr="00933D22">
        <w:rPr>
          <w:sz w:val="20"/>
          <w:szCs w:val="20"/>
        </w:rPr>
        <w:t>co-construit</w:t>
      </w:r>
      <w:proofErr w:type="spellEnd"/>
      <w:r w:rsidRPr="00933D22">
        <w:rPr>
          <w:sz w:val="20"/>
          <w:szCs w:val="20"/>
        </w:rPr>
        <w:t xml:space="preserve"> d’un document de synthèse validé par le bénéficiaire. Échanges réguliers sur l’évolution du projet. Suivi à </w:t>
      </w:r>
      <w:r w:rsidR="0095130E" w:rsidRPr="00933D22">
        <w:rPr>
          <w:sz w:val="20"/>
          <w:szCs w:val="20"/>
        </w:rPr>
        <w:t>6</w:t>
      </w:r>
      <w:r w:rsidRPr="00933D22">
        <w:rPr>
          <w:sz w:val="20"/>
          <w:szCs w:val="20"/>
        </w:rPr>
        <w:t xml:space="preserve"> mois</w:t>
      </w:r>
      <w:r w:rsidR="0095130E" w:rsidRPr="00933D22">
        <w:rPr>
          <w:sz w:val="20"/>
          <w:szCs w:val="20"/>
        </w:rPr>
        <w:t>.</w:t>
      </w:r>
    </w:p>
    <w:p w14:paraId="135ABECF" w14:textId="684F947B" w:rsidR="00641BC7" w:rsidRPr="00515E1E" w:rsidRDefault="00000000">
      <w:pPr>
        <w:pStyle w:val="Titre2"/>
        <w:rPr>
          <w:rFonts w:ascii="Aptos Display" w:hAnsi="Aptos Display"/>
          <w:b w:val="0"/>
          <w:bCs w:val="0"/>
          <w:color w:val="3071C3" w:themeColor="text2" w:themeTint="BF"/>
          <w:sz w:val="22"/>
          <w:szCs w:val="22"/>
        </w:rPr>
      </w:pPr>
      <w:r w:rsidRPr="00515E1E">
        <w:rPr>
          <w:rFonts w:ascii="Aptos Display" w:hAnsi="Aptos Display"/>
          <w:b w:val="0"/>
          <w:bCs w:val="0"/>
          <w:color w:val="3071C3" w:themeColor="text2" w:themeTint="BF"/>
          <w:sz w:val="22"/>
          <w:szCs w:val="22"/>
        </w:rPr>
        <w:t xml:space="preserve">Accessibilité </w:t>
      </w:r>
      <w:r w:rsidR="0095130E" w:rsidRPr="00515E1E">
        <w:rPr>
          <w:rFonts w:ascii="Aptos Display" w:hAnsi="Aptos Display"/>
          <w:b w:val="0"/>
          <w:bCs w:val="0"/>
          <w:color w:val="3071C3" w:themeColor="text2" w:themeTint="BF"/>
          <w:sz w:val="22"/>
          <w:szCs w:val="22"/>
        </w:rPr>
        <w:t>personnes en situation de handicap</w:t>
      </w:r>
    </w:p>
    <w:p w14:paraId="1B56B610" w14:textId="77777777" w:rsidR="00641BC7" w:rsidRPr="00DD0C9D" w:rsidRDefault="00000000">
      <w:pPr>
        <w:rPr>
          <w:sz w:val="20"/>
          <w:szCs w:val="20"/>
        </w:rPr>
      </w:pPr>
      <w:r w:rsidRPr="00DD0C9D">
        <w:rPr>
          <w:sz w:val="20"/>
          <w:szCs w:val="20"/>
        </w:rPr>
        <w:t>Le référent handicap désigné est Sylvain Leroy. Des aménagements sont possibles en fonction des besoins. Une fiche d’accessibilité est disponible sur demande.</w:t>
      </w:r>
    </w:p>
    <w:p w14:paraId="68933364" w14:textId="77777777" w:rsidR="00641BC7" w:rsidRPr="00515E1E" w:rsidRDefault="00000000">
      <w:pPr>
        <w:pStyle w:val="Titre2"/>
        <w:rPr>
          <w:rFonts w:ascii="Aptos Display" w:hAnsi="Aptos Display"/>
          <w:b w:val="0"/>
          <w:bCs w:val="0"/>
          <w:color w:val="3071C3" w:themeColor="text2" w:themeTint="BF"/>
          <w:sz w:val="22"/>
          <w:szCs w:val="22"/>
        </w:rPr>
      </w:pPr>
      <w:r w:rsidRPr="00515E1E">
        <w:rPr>
          <w:rFonts w:ascii="Aptos Display" w:hAnsi="Aptos Display"/>
          <w:b w:val="0"/>
          <w:bCs w:val="0"/>
          <w:color w:val="3071C3" w:themeColor="text2" w:themeTint="BF"/>
          <w:sz w:val="22"/>
          <w:szCs w:val="22"/>
        </w:rPr>
        <w:t>Lieu de réalisation</w:t>
      </w:r>
    </w:p>
    <w:p w14:paraId="2884066F" w14:textId="1C559D53" w:rsidR="004D6409" w:rsidRPr="0095130E" w:rsidRDefault="0095130E" w:rsidP="0095130E">
      <w:pPr>
        <w:rPr>
          <w:rFonts w:asciiTheme="majorHAnsi" w:hAnsiTheme="majorHAnsi" w:cstheme="majorHAnsi"/>
          <w:sz w:val="21"/>
          <w:szCs w:val="21"/>
        </w:rPr>
      </w:pPr>
      <w:r w:rsidRPr="0095130E">
        <w:rPr>
          <w:rFonts w:asciiTheme="majorHAnsi" w:hAnsiTheme="majorHAnsi" w:cstheme="majorHAnsi"/>
          <w:sz w:val="21"/>
          <w:szCs w:val="21"/>
        </w:rPr>
        <w:t>Les entretiens ont lieu en visioconférence ou dans un lieu à déterminer ensemble à Saint-Raphaël ou alentours, dans un espace garantissant la confidentialité des échanges.</w:t>
      </w:r>
    </w:p>
    <w:p w14:paraId="6D2515A9" w14:textId="77777777" w:rsidR="00641BC7" w:rsidRPr="00515E1E" w:rsidRDefault="00000000">
      <w:pPr>
        <w:pStyle w:val="Titre2"/>
        <w:rPr>
          <w:b w:val="0"/>
          <w:bCs w:val="0"/>
          <w:color w:val="3071C3" w:themeColor="text2" w:themeTint="BF"/>
          <w:sz w:val="22"/>
          <w:szCs w:val="22"/>
        </w:rPr>
      </w:pPr>
      <w:r w:rsidRPr="00515E1E">
        <w:rPr>
          <w:b w:val="0"/>
          <w:bCs w:val="0"/>
          <w:color w:val="3071C3" w:themeColor="text2" w:themeTint="BF"/>
          <w:sz w:val="22"/>
          <w:szCs w:val="22"/>
        </w:rPr>
        <w:lastRenderedPageBreak/>
        <w:t>Mentions légales</w:t>
      </w:r>
    </w:p>
    <w:p w14:paraId="7A8FB0AC" w14:textId="77777777" w:rsidR="000E57C9" w:rsidRDefault="00000000">
      <w:pPr>
        <w:rPr>
          <w:sz w:val="20"/>
          <w:szCs w:val="20"/>
        </w:rPr>
      </w:pPr>
      <w:r w:rsidRPr="00DD0C9D">
        <w:rPr>
          <w:sz w:val="20"/>
          <w:szCs w:val="20"/>
        </w:rPr>
        <w:t xml:space="preserve">Bilan conforme aux articles </w:t>
      </w:r>
      <w:r w:rsidR="000E57C9" w:rsidRPr="000E57C9">
        <w:rPr>
          <w:rFonts w:cs="Calibri"/>
          <w:color w:val="000000"/>
        </w:rPr>
        <w:t>L6313-1, L6313-4, R6313-4 à R6313-8</w:t>
      </w:r>
      <w:r w:rsidRPr="000E57C9">
        <w:rPr>
          <w:rFonts w:cs="Calibri"/>
        </w:rPr>
        <w:t>du</w:t>
      </w:r>
      <w:r w:rsidRPr="00DD0C9D">
        <w:rPr>
          <w:sz w:val="20"/>
          <w:szCs w:val="20"/>
        </w:rPr>
        <w:t xml:space="preserve"> Code du travail. </w:t>
      </w:r>
    </w:p>
    <w:p w14:paraId="42BCD594" w14:textId="02D683EC" w:rsidR="00641BC7" w:rsidRDefault="00E37612">
      <w:pPr>
        <w:rPr>
          <w:sz w:val="20"/>
          <w:szCs w:val="20"/>
        </w:rPr>
      </w:pPr>
      <w:r w:rsidRPr="00E37612">
        <w:rPr>
          <w:rFonts w:asciiTheme="majorHAnsi" w:hAnsiTheme="majorHAnsi" w:cstheme="majorHAnsi"/>
          <w:color w:val="000000"/>
          <w:sz w:val="20"/>
          <w:szCs w:val="20"/>
        </w:rPr>
        <w:t xml:space="preserve">Certification </w:t>
      </w:r>
      <w:proofErr w:type="spellStart"/>
      <w:r w:rsidRPr="00E37612">
        <w:rPr>
          <w:rFonts w:asciiTheme="majorHAnsi" w:hAnsiTheme="majorHAnsi" w:cstheme="majorHAnsi"/>
          <w:color w:val="000000"/>
          <w:sz w:val="20"/>
          <w:szCs w:val="20"/>
        </w:rPr>
        <w:t>Qualiopi</w:t>
      </w:r>
      <w:proofErr w:type="spellEnd"/>
      <w:r w:rsidRPr="00E37612">
        <w:rPr>
          <w:rFonts w:asciiTheme="majorHAnsi" w:hAnsiTheme="majorHAnsi" w:cstheme="majorHAnsi"/>
          <w:color w:val="000000"/>
          <w:sz w:val="20"/>
          <w:szCs w:val="20"/>
        </w:rPr>
        <w:t xml:space="preserve"> obtenue. Référencement CPF en cours de traitement par la Caisse des Dépôts.</w:t>
      </w:r>
      <w:r w:rsidRPr="00DD0C9D">
        <w:rPr>
          <w:sz w:val="20"/>
          <w:szCs w:val="20"/>
        </w:rPr>
        <w:t xml:space="preserve"> </w:t>
      </w:r>
      <w:r w:rsidR="00000000" w:rsidRPr="00DD0C9D">
        <w:rPr>
          <w:sz w:val="20"/>
          <w:szCs w:val="20"/>
        </w:rPr>
        <w:br/>
        <w:t xml:space="preserve">SIREN : 977 679 190 </w:t>
      </w:r>
    </w:p>
    <w:p w14:paraId="3C6C2EE5" w14:textId="77777777" w:rsidR="000E57C9" w:rsidRPr="000E57C9" w:rsidRDefault="000E57C9" w:rsidP="000E57C9">
      <w:pPr>
        <w:jc w:val="both"/>
        <w:rPr>
          <w:rFonts w:ascii="Aptos Display" w:eastAsia="Times New Roman" w:hAnsi="Aptos Display" w:cs="Calibri"/>
          <w:sz w:val="20"/>
          <w:szCs w:val="20"/>
          <w:lang w:eastAsia="fr-FR"/>
        </w:rPr>
      </w:pPr>
      <w:r w:rsidRPr="000E57C9">
        <w:rPr>
          <w:rFonts w:ascii="Aptos Display" w:eastAsia="Times New Roman" w:hAnsi="Aptos Display" w:cs="Calibri"/>
          <w:sz w:val="20"/>
          <w:szCs w:val="20"/>
          <w:lang w:eastAsia="fr-FR"/>
        </w:rPr>
        <w:t>Activité enregistrée sous le numéro 93830851183. Cet enregistrement ne vaut pas agrément de l’État</w:t>
      </w:r>
    </w:p>
    <w:p w14:paraId="4E054D1D" w14:textId="77777777" w:rsidR="000E57C9" w:rsidRDefault="000E57C9">
      <w:pPr>
        <w:rPr>
          <w:sz w:val="20"/>
          <w:szCs w:val="20"/>
        </w:rPr>
      </w:pPr>
    </w:p>
    <w:p w14:paraId="4855DCAF" w14:textId="77777777" w:rsidR="00217765" w:rsidRPr="00217765" w:rsidRDefault="00217765" w:rsidP="00217765">
      <w:pPr>
        <w:rPr>
          <w:sz w:val="20"/>
          <w:szCs w:val="20"/>
        </w:rPr>
      </w:pPr>
    </w:p>
    <w:p w14:paraId="156CB469" w14:textId="77777777" w:rsidR="00217765" w:rsidRPr="00217765" w:rsidRDefault="00217765" w:rsidP="00217765">
      <w:pPr>
        <w:rPr>
          <w:sz w:val="20"/>
          <w:szCs w:val="20"/>
        </w:rPr>
      </w:pPr>
    </w:p>
    <w:p w14:paraId="0DB73AD9" w14:textId="77777777" w:rsidR="00217765" w:rsidRPr="00217765" w:rsidRDefault="00217765" w:rsidP="00217765">
      <w:pPr>
        <w:rPr>
          <w:sz w:val="20"/>
          <w:szCs w:val="20"/>
        </w:rPr>
      </w:pPr>
    </w:p>
    <w:p w14:paraId="03B23149" w14:textId="77777777" w:rsidR="00217765" w:rsidRPr="00217765" w:rsidRDefault="00217765" w:rsidP="00217765">
      <w:pPr>
        <w:rPr>
          <w:sz w:val="20"/>
          <w:szCs w:val="20"/>
        </w:rPr>
      </w:pPr>
    </w:p>
    <w:p w14:paraId="79EB2E7A" w14:textId="77777777" w:rsidR="00217765" w:rsidRPr="00217765" w:rsidRDefault="00217765" w:rsidP="00217765">
      <w:pPr>
        <w:rPr>
          <w:sz w:val="20"/>
          <w:szCs w:val="20"/>
        </w:rPr>
      </w:pPr>
    </w:p>
    <w:p w14:paraId="45C87811" w14:textId="77777777" w:rsidR="00217765" w:rsidRPr="00217765" w:rsidRDefault="00217765" w:rsidP="00217765">
      <w:pPr>
        <w:rPr>
          <w:sz w:val="20"/>
          <w:szCs w:val="20"/>
        </w:rPr>
      </w:pPr>
    </w:p>
    <w:p w14:paraId="0AD91BDD" w14:textId="77777777" w:rsidR="00217765" w:rsidRPr="00217765" w:rsidRDefault="00217765" w:rsidP="00217765">
      <w:pPr>
        <w:rPr>
          <w:sz w:val="20"/>
          <w:szCs w:val="20"/>
        </w:rPr>
      </w:pPr>
    </w:p>
    <w:p w14:paraId="39AD50D9" w14:textId="49037856" w:rsidR="00217765" w:rsidRPr="00217765" w:rsidRDefault="00217765" w:rsidP="00217765">
      <w:pPr>
        <w:tabs>
          <w:tab w:val="left" w:pos="21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217765" w:rsidRPr="00217765" w:rsidSect="00034616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6EEAD" w14:textId="77777777" w:rsidR="00162276" w:rsidRDefault="00162276" w:rsidP="00B30199">
      <w:pPr>
        <w:spacing w:after="0" w:line="240" w:lineRule="auto"/>
      </w:pPr>
      <w:r>
        <w:separator/>
      </w:r>
    </w:p>
  </w:endnote>
  <w:endnote w:type="continuationSeparator" w:id="0">
    <w:p w14:paraId="5E369906" w14:textId="77777777" w:rsidR="00162276" w:rsidRDefault="00162276" w:rsidP="00B30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556076330"/>
      <w:docPartObj>
        <w:docPartGallery w:val="Page Numbers (Bottom of Page)"/>
        <w:docPartUnique/>
      </w:docPartObj>
    </w:sdtPr>
    <w:sdtContent>
      <w:p w14:paraId="33B8FFCE" w14:textId="67B97A94" w:rsidR="008971C3" w:rsidRDefault="008971C3" w:rsidP="0077300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403563B8" w14:textId="77777777" w:rsidR="00217765" w:rsidRDefault="00217765" w:rsidP="008971C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934729799"/>
      <w:docPartObj>
        <w:docPartGallery w:val="Page Numbers (Bottom of Page)"/>
        <w:docPartUnique/>
      </w:docPartObj>
    </w:sdtPr>
    <w:sdtContent>
      <w:p w14:paraId="7C86C9AA" w14:textId="74CF7455" w:rsidR="008971C3" w:rsidRDefault="008971C3" w:rsidP="0077300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23E66AC" w14:textId="77777777" w:rsidR="008971C3" w:rsidRPr="004B0FB3" w:rsidRDefault="008971C3" w:rsidP="008971C3">
    <w:pPr>
      <w:pStyle w:val="Pieddepage"/>
      <w:ind w:right="360"/>
      <w:rPr>
        <w:rFonts w:ascii="Aptos Display" w:hAnsi="Aptos Display"/>
        <w:color w:val="C4BC96" w:themeColor="background2" w:themeShade="BF"/>
        <w:sz w:val="20"/>
        <w:szCs w:val="20"/>
      </w:rPr>
    </w:pPr>
    <w:r w:rsidRPr="004B0FB3">
      <w:rPr>
        <w:rFonts w:ascii="Aptos Display" w:hAnsi="Aptos Display"/>
        <w:color w:val="C4BC96" w:themeColor="background2" w:themeShade="BF"/>
        <w:sz w:val="20"/>
        <w:szCs w:val="20"/>
      </w:rPr>
      <w:t>Sylvain Leroy EI (SLR Consulting) – 32 Boulevard Ampère, 83700 Saint Raphael, France</w:t>
    </w:r>
  </w:p>
  <w:p w14:paraId="778754C2" w14:textId="7CE2B94F" w:rsidR="0032698F" w:rsidRDefault="008971C3" w:rsidP="008971C3">
    <w:pPr>
      <w:pStyle w:val="Pieddepage"/>
      <w:rPr>
        <w:rFonts w:ascii="Aptos Display" w:hAnsi="Aptos Display"/>
        <w:color w:val="C4BC96" w:themeColor="background2" w:themeShade="BF"/>
        <w:sz w:val="20"/>
        <w:szCs w:val="20"/>
      </w:rPr>
    </w:pPr>
    <w:hyperlink r:id="rId1" w:history="1">
      <w:r w:rsidRPr="004B0FB3">
        <w:rPr>
          <w:rStyle w:val="Lienhypertexte"/>
          <w:rFonts w:ascii="Aptos Display" w:hAnsi="Aptos Display"/>
          <w:color w:val="C4BC96" w:themeColor="background2" w:themeShade="BF"/>
          <w:sz w:val="20"/>
          <w:szCs w:val="20"/>
        </w:rPr>
        <w:t>contact@slrconsulting.fr</w:t>
      </w:r>
    </w:hyperlink>
    <w:r w:rsidRPr="004B0FB3">
      <w:rPr>
        <w:rFonts w:ascii="Aptos Display" w:hAnsi="Aptos Display"/>
        <w:color w:val="C4BC96" w:themeColor="background2" w:themeShade="BF"/>
        <w:sz w:val="20"/>
        <w:szCs w:val="20"/>
      </w:rPr>
      <w:t xml:space="preserve"> - </w:t>
    </w:r>
    <w:hyperlink r:id="rId2" w:history="1">
      <w:r w:rsidRPr="004B0FB3">
        <w:rPr>
          <w:rStyle w:val="Lienhypertexte"/>
          <w:rFonts w:ascii="Aptos Display" w:hAnsi="Aptos Display"/>
          <w:color w:val="C4BC96" w:themeColor="background2" w:themeShade="BF"/>
          <w:sz w:val="20"/>
          <w:szCs w:val="20"/>
        </w:rPr>
        <w:t>https://www.slrconsulting.fr</w:t>
      </w:r>
    </w:hyperlink>
    <w:r w:rsidRPr="004B0FB3">
      <w:rPr>
        <w:rFonts w:ascii="Aptos Display" w:hAnsi="Aptos Display"/>
        <w:color w:val="C4BC96" w:themeColor="background2" w:themeShade="BF"/>
        <w:sz w:val="20"/>
        <w:szCs w:val="20"/>
      </w:rPr>
      <w:t xml:space="preserve"> – (+33) 6 69 13 42 36</w:t>
    </w:r>
    <w:r w:rsidRPr="004B0FB3">
      <w:rPr>
        <w:rFonts w:ascii="Aptos Display" w:hAnsi="Aptos Display"/>
        <w:color w:val="C4BC96" w:themeColor="background2" w:themeShade="BF"/>
        <w:sz w:val="20"/>
        <w:szCs w:val="20"/>
      </w:rPr>
      <w:br/>
      <w:t>Siret : 97767919000016</w:t>
    </w:r>
    <w:r w:rsidR="0032698F">
      <w:rPr>
        <w:rFonts w:ascii="Aptos Display" w:hAnsi="Aptos Display"/>
        <w:color w:val="C4BC96" w:themeColor="background2" w:themeShade="BF"/>
        <w:sz w:val="20"/>
        <w:szCs w:val="20"/>
      </w:rPr>
      <w:t xml:space="preserve"> – APE 7022Z</w:t>
    </w:r>
  </w:p>
  <w:p w14:paraId="632DC608" w14:textId="59F44952" w:rsidR="0032698F" w:rsidRDefault="0032698F" w:rsidP="0032698F">
    <w:pPr>
      <w:jc w:val="both"/>
      <w:rPr>
        <w:rFonts w:ascii="Aptos Display" w:eastAsia="Times New Roman" w:hAnsi="Aptos Display" w:cs="Calibri"/>
        <w:color w:val="C4BC96" w:themeColor="background2" w:themeShade="BF"/>
        <w:sz w:val="20"/>
        <w:szCs w:val="20"/>
        <w:lang w:eastAsia="fr-FR"/>
      </w:rPr>
    </w:pPr>
    <w:r w:rsidRPr="0032698F">
      <w:rPr>
        <w:rFonts w:ascii="Aptos Display" w:eastAsia="Times New Roman" w:hAnsi="Aptos Display" w:cs="Calibri"/>
        <w:color w:val="C4BC96" w:themeColor="background2" w:themeShade="BF"/>
        <w:sz w:val="20"/>
        <w:szCs w:val="20"/>
        <w:lang w:eastAsia="fr-FR"/>
      </w:rPr>
      <w:t>Activité enregistrée sous le numéro 93830851183. Cet enregistrement ne vaut pas agrément de l’État</w:t>
    </w:r>
  </w:p>
  <w:p w14:paraId="39FFA70A" w14:textId="77777777" w:rsidR="0032698F" w:rsidRPr="0032698F" w:rsidRDefault="0032698F" w:rsidP="0032698F">
    <w:pPr>
      <w:jc w:val="both"/>
      <w:rPr>
        <w:rFonts w:ascii="Aptos Display" w:eastAsia="Times New Roman" w:hAnsi="Aptos Display" w:cs="Calibri"/>
        <w:color w:val="C4BC96" w:themeColor="background2" w:themeShade="BF"/>
        <w:sz w:val="20"/>
        <w:szCs w:val="20"/>
        <w:lang w:eastAsia="fr-FR"/>
      </w:rPr>
    </w:pPr>
  </w:p>
  <w:p w14:paraId="0EF5B3B9" w14:textId="38AD9DB1" w:rsidR="008971C3" w:rsidRDefault="008971C3" w:rsidP="008971C3">
    <w:pPr>
      <w:pStyle w:val="Pieddepage"/>
      <w:rPr>
        <w:rFonts w:ascii="Aptos Display" w:hAnsi="Aptos Display"/>
        <w:color w:val="C4BC96" w:themeColor="background2" w:themeShade="BF"/>
        <w:sz w:val="20"/>
        <w:szCs w:val="20"/>
      </w:rPr>
    </w:pPr>
    <w:r w:rsidRPr="004B0FB3">
      <w:rPr>
        <w:rFonts w:ascii="Aptos Display" w:hAnsi="Aptos Display"/>
        <w:color w:val="C4BC96" w:themeColor="background2" w:themeShade="BF"/>
        <w:sz w:val="20"/>
        <w:szCs w:val="20"/>
      </w:rPr>
      <w:t xml:space="preserve"> </w:t>
    </w:r>
  </w:p>
  <w:p w14:paraId="02FC6E84" w14:textId="6DA1195F" w:rsidR="008971C3" w:rsidRPr="004B0FB3" w:rsidRDefault="008971C3" w:rsidP="008971C3">
    <w:pPr>
      <w:pStyle w:val="Pieddepage"/>
      <w:rPr>
        <w:rFonts w:ascii="Aptos Display" w:hAnsi="Aptos Display"/>
        <w:color w:val="C4BC96" w:themeColor="background2" w:themeShade="BF"/>
        <w:sz w:val="20"/>
        <w:szCs w:val="20"/>
      </w:rPr>
    </w:pPr>
    <w:r>
      <w:rPr>
        <w:rFonts w:ascii="Aptos Display" w:hAnsi="Aptos Display"/>
        <w:color w:val="C4BC96" w:themeColor="background2" w:themeShade="BF"/>
        <w:sz w:val="20"/>
        <w:szCs w:val="20"/>
      </w:rPr>
      <w:t xml:space="preserve">Mise à jour </w:t>
    </w:r>
    <w:r w:rsidR="0032698F">
      <w:rPr>
        <w:rFonts w:ascii="Aptos Display" w:hAnsi="Aptos Display"/>
        <w:color w:val="C4BC96" w:themeColor="background2" w:themeShade="BF"/>
        <w:sz w:val="20"/>
        <w:szCs w:val="20"/>
      </w:rPr>
      <w:t xml:space="preserve">septembre </w:t>
    </w:r>
    <w:r>
      <w:rPr>
        <w:rFonts w:ascii="Aptos Display" w:hAnsi="Aptos Display"/>
        <w:color w:val="C4BC96" w:themeColor="background2" w:themeShade="BF"/>
        <w:sz w:val="20"/>
        <w:szCs w:val="20"/>
      </w:rPr>
      <w:t>2025</w:t>
    </w:r>
  </w:p>
  <w:p w14:paraId="02401148" w14:textId="17C7AF3A" w:rsidR="00B30199" w:rsidRDefault="00B30199" w:rsidP="00B30199">
    <w:pPr>
      <w:pStyle w:val="Pieddepage"/>
      <w:tabs>
        <w:tab w:val="clear" w:pos="4680"/>
        <w:tab w:val="clear" w:pos="9360"/>
        <w:tab w:val="left" w:pos="16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F0C12" w14:textId="77777777" w:rsidR="00162276" w:rsidRDefault="00162276" w:rsidP="00B30199">
      <w:pPr>
        <w:spacing w:after="0" w:line="240" w:lineRule="auto"/>
      </w:pPr>
      <w:r>
        <w:separator/>
      </w:r>
    </w:p>
  </w:footnote>
  <w:footnote w:type="continuationSeparator" w:id="0">
    <w:p w14:paraId="5870B691" w14:textId="77777777" w:rsidR="00162276" w:rsidRDefault="00162276" w:rsidP="00B30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5A321" w14:textId="36299B69" w:rsidR="00B30199" w:rsidRPr="00B30199" w:rsidRDefault="00FF4501" w:rsidP="004D6409">
    <w:pPr>
      <w:pStyle w:val="En-tte"/>
      <w:jc w:val="center"/>
    </w:pPr>
    <w:r>
      <w:rPr>
        <w:noProof/>
      </w:rPr>
      <w:drawing>
        <wp:inline distT="0" distB="0" distL="0" distR="0" wp14:anchorId="753BCEE0" wp14:editId="127C6F5F">
          <wp:extent cx="1154087" cy="1154087"/>
          <wp:effectExtent l="0" t="0" r="1905" b="1905"/>
          <wp:docPr id="1574382581" name="Image 1" descr="Une image contenant Mammifère marin, mammifère, Aileron, mammifère aquatiques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382581" name="Image 1" descr="Une image contenant Mammifère marin, mammifère, Aileron, mammifère aquatiques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6754" cy="121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045EEA"/>
    <w:multiLevelType w:val="multilevel"/>
    <w:tmpl w:val="2652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5F0CCE"/>
    <w:multiLevelType w:val="multilevel"/>
    <w:tmpl w:val="C110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9360EE"/>
    <w:multiLevelType w:val="multilevel"/>
    <w:tmpl w:val="89D0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7390179">
    <w:abstractNumId w:val="8"/>
  </w:num>
  <w:num w:numId="2" w16cid:durableId="1295063950">
    <w:abstractNumId w:val="6"/>
  </w:num>
  <w:num w:numId="3" w16cid:durableId="458231297">
    <w:abstractNumId w:val="5"/>
  </w:num>
  <w:num w:numId="4" w16cid:durableId="2098860063">
    <w:abstractNumId w:val="4"/>
  </w:num>
  <w:num w:numId="5" w16cid:durableId="569273490">
    <w:abstractNumId w:val="7"/>
  </w:num>
  <w:num w:numId="6" w16cid:durableId="1973632473">
    <w:abstractNumId w:val="3"/>
  </w:num>
  <w:num w:numId="7" w16cid:durableId="1010303504">
    <w:abstractNumId w:val="2"/>
  </w:num>
  <w:num w:numId="8" w16cid:durableId="77335625">
    <w:abstractNumId w:val="1"/>
  </w:num>
  <w:num w:numId="9" w16cid:durableId="518278081">
    <w:abstractNumId w:val="0"/>
  </w:num>
  <w:num w:numId="10" w16cid:durableId="1439056631">
    <w:abstractNumId w:val="11"/>
  </w:num>
  <w:num w:numId="11" w16cid:durableId="125592106">
    <w:abstractNumId w:val="10"/>
  </w:num>
  <w:num w:numId="12" w16cid:durableId="1495165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1F11"/>
    <w:rsid w:val="0006063C"/>
    <w:rsid w:val="00080798"/>
    <w:rsid w:val="000E57C9"/>
    <w:rsid w:val="0015074B"/>
    <w:rsid w:val="001525A4"/>
    <w:rsid w:val="00162276"/>
    <w:rsid w:val="001A32A8"/>
    <w:rsid w:val="001C27F3"/>
    <w:rsid w:val="00206E56"/>
    <w:rsid w:val="00217765"/>
    <w:rsid w:val="002419F2"/>
    <w:rsid w:val="0029639D"/>
    <w:rsid w:val="00311897"/>
    <w:rsid w:val="0032698F"/>
    <w:rsid w:val="00326F90"/>
    <w:rsid w:val="00371C5F"/>
    <w:rsid w:val="003A6C9E"/>
    <w:rsid w:val="00467046"/>
    <w:rsid w:val="004C43E6"/>
    <w:rsid w:val="004D6409"/>
    <w:rsid w:val="00515E1E"/>
    <w:rsid w:val="005F1BD4"/>
    <w:rsid w:val="00603934"/>
    <w:rsid w:val="00641BC7"/>
    <w:rsid w:val="006F00A8"/>
    <w:rsid w:val="007069B7"/>
    <w:rsid w:val="007E278A"/>
    <w:rsid w:val="00855890"/>
    <w:rsid w:val="008857AD"/>
    <w:rsid w:val="008971C3"/>
    <w:rsid w:val="00933D22"/>
    <w:rsid w:val="0095130E"/>
    <w:rsid w:val="00AA0D0F"/>
    <w:rsid w:val="00AA1D8D"/>
    <w:rsid w:val="00B30199"/>
    <w:rsid w:val="00B47730"/>
    <w:rsid w:val="00BB01FA"/>
    <w:rsid w:val="00CB0664"/>
    <w:rsid w:val="00DD0C9D"/>
    <w:rsid w:val="00E37612"/>
    <w:rsid w:val="00F15E66"/>
    <w:rsid w:val="00F444F8"/>
    <w:rsid w:val="00FC693F"/>
    <w:rsid w:val="00FF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D1940C"/>
  <w14:defaultImageDpi w14:val="300"/>
  <w15:docId w15:val="{0817E668-4BB1-B548-AF05-BFCE92D6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gsua">
    <w:name w:val="cvgsua"/>
    <w:basedOn w:val="Normal"/>
    <w:rsid w:val="00B30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oypena">
    <w:name w:val="oypena"/>
    <w:basedOn w:val="Policepardfaut"/>
    <w:rsid w:val="00B30199"/>
  </w:style>
  <w:style w:type="paragraph" w:styleId="NormalWeb">
    <w:name w:val="Normal (Web)"/>
    <w:basedOn w:val="Normal"/>
    <w:uiPriority w:val="99"/>
    <w:semiHidden/>
    <w:unhideWhenUsed/>
    <w:rsid w:val="00951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95130E"/>
  </w:style>
  <w:style w:type="character" w:styleId="Lienhypertexte">
    <w:name w:val="Hyperlink"/>
    <w:basedOn w:val="Policepardfaut"/>
    <w:uiPriority w:val="99"/>
    <w:unhideWhenUsed/>
    <w:rsid w:val="008971C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971C3"/>
    <w:rPr>
      <w:color w:val="800080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897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6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lrconsulting.fr" TargetMode="External"/><Relationship Id="rId1" Type="http://schemas.openxmlformats.org/officeDocument/2006/relationships/hyperlink" Target="mailto:contact@slrconsulting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456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Sylvain Leroy</cp:lastModifiedBy>
  <cp:revision>5</cp:revision>
  <dcterms:created xsi:type="dcterms:W3CDTF">2025-09-28T14:35:00Z</dcterms:created>
  <dcterms:modified xsi:type="dcterms:W3CDTF">2025-09-28T15:08:00Z</dcterms:modified>
  <cp:category/>
</cp:coreProperties>
</file>